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Julia Field</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Just Visually “App”-ealling: Supporting Teachers in Leveraging Instagram for Effective and Critical Professional Development</w:t>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Vanderbilt Peabody College</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April 2021</w:t>
      </w:r>
    </w:p>
    <w:p w:rsidR="00000000" w:rsidDel="00000000" w:rsidP="00000000" w:rsidRDefault="00000000" w:rsidRPr="00000000" w14:paraId="0000000C">
      <w:pPr>
        <w:shd w:fill="ffffff" w:val="clear"/>
        <w:spacing w:line="480" w:lineRule="auto"/>
        <w:ind w:left="0"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my undergraduate years, I used Twitter as a professional development resource, and the creation of PLNs was an integral part of my time in the teacher education program at Elon University. While talking to my advisor from undergraduate about ideas surrounding my capstone, I let him know I was thinking about ways I could integrate Twitter and PLNs into my project. He advised me to consider looking into Instagram and the growing teacher community on the app. From some of the first pieces about Instagram that I read, it is evident that it is a professional resource growing in popularity, and teachers seem to be loving Instagram. As a future elementary school teacher, I have an interest in advocating for strong and relevant professional development opportunities for educators. With a robust understanding of the dynamics of the social media platform, Instagram has the potential to be a powerful tool for teacher professional development.  </w:t>
      </w:r>
    </w:p>
    <w:p w:rsidR="00000000" w:rsidDel="00000000" w:rsidP="00000000" w:rsidRDefault="00000000" w:rsidRPr="00000000" w14:paraId="0000000E">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over 1 billion users on Instagram (Iqbal, 2021). According to Galligan et al. (2019), 82% of teachers resort using Instagram professionally. Teachers spend 15-60 minutes on IG per day, and 60% of teachers post at least once a week on the app. 40% of teachers predict they will use Instagram more in the future. While the current literature certainly supports just how much teachers are gravitating toward Instagram, it also asserts teachers crave additional support about how to maximize professional potential while using social media. </w:t>
      </w:r>
      <w:r w:rsidDel="00000000" w:rsidR="00000000" w:rsidRPr="00000000">
        <w:rPr>
          <w:rFonts w:ascii="Times New Roman" w:cs="Times New Roman" w:eastAsia="Times New Roman" w:hAnsi="Times New Roman"/>
          <w:sz w:val="24"/>
          <w:szCs w:val="24"/>
          <w:rtl w:val="0"/>
        </w:rPr>
        <w:t xml:space="preserve">According to Shelton, “Teachers need support in connecting with edu-influencers who will provide examples of effective, well-thought-out classroom practice" (Shelton, et al., 2020, p. 32)</w:t>
      </w:r>
      <w:r w:rsidDel="00000000" w:rsidR="00000000" w:rsidRPr="00000000">
        <w:rPr>
          <w:rtl w:val="0"/>
        </w:rPr>
      </w:r>
    </w:p>
    <w:p w:rsidR="00000000" w:rsidDel="00000000" w:rsidP="00000000" w:rsidRDefault="00000000" w:rsidRPr="00000000" w14:paraId="0000000F">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in mind, my problem of practice is “While current research explains teachers love using Instagram for professional development, teachers crave support to use the platform more effectively.” This problem of practice sits in the context of Instagram, a social media platform that is ripe with niche communities. Throughout my capstone, I focused specifically on teacher and education centered communities on the platform. Therefore, my research question became, “Understanding how teachers already leverage Instagram as a professional development tool, how can teachers be supported in being effective users of Instagram?”</w:t>
      </w:r>
    </w:p>
    <w:p w:rsidR="00000000" w:rsidDel="00000000" w:rsidP="00000000" w:rsidRDefault="00000000" w:rsidRPr="00000000" w14:paraId="00000010">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question is worth researching for a number of reasons. First, this is worth researching because of the substantial data about just how much teachers are gravitating toward regular use of Instagram (</w:t>
      </w:r>
      <w:r w:rsidDel="00000000" w:rsidR="00000000" w:rsidRPr="00000000">
        <w:rPr>
          <w:rFonts w:ascii="Times New Roman" w:cs="Times New Roman" w:eastAsia="Times New Roman" w:hAnsi="Times New Roman"/>
          <w:sz w:val="24"/>
          <w:szCs w:val="24"/>
          <w:rtl w:val="0"/>
        </w:rPr>
        <w:t xml:space="preserve">Galligan et al., 2019; Carpenter et al., 2020)</w:t>
      </w:r>
      <w:r w:rsidDel="00000000" w:rsidR="00000000" w:rsidRPr="00000000">
        <w:rPr>
          <w:rFonts w:ascii="Times New Roman" w:cs="Times New Roman" w:eastAsia="Times New Roman" w:hAnsi="Times New Roman"/>
          <w:sz w:val="24"/>
          <w:szCs w:val="24"/>
          <w:rtl w:val="0"/>
        </w:rPr>
        <w:t xml:space="preserve"> Therefore, it is worth researching in order to help provide teachers with strong professional development and professional learning opportunities. Moreover, there is a thorough body of work that points to the effectiveness of sustained professional development opportunities for teachers. PLNs, or professional learning networks, are online communities that offer teachers the opportunity to connect with educators across the world about a number of topics via social media platforms (</w:t>
      </w:r>
      <w:r w:rsidDel="00000000" w:rsidR="00000000" w:rsidRPr="00000000">
        <w:rPr>
          <w:rFonts w:ascii="Times New Roman" w:cs="Times New Roman" w:eastAsia="Times New Roman" w:hAnsi="Times New Roman"/>
          <w:sz w:val="24"/>
          <w:szCs w:val="24"/>
          <w:rtl w:val="0"/>
        </w:rPr>
        <w:t xml:space="preserve">Trust, 2012, p. 133</w:t>
      </w:r>
      <w:r w:rsidDel="00000000" w:rsidR="00000000" w:rsidRPr="00000000">
        <w:rPr>
          <w:rFonts w:ascii="Times New Roman" w:cs="Times New Roman" w:eastAsia="Times New Roman" w:hAnsi="Times New Roman"/>
          <w:sz w:val="24"/>
          <w:szCs w:val="24"/>
          <w:rtl w:val="0"/>
        </w:rPr>
        <w:t xml:space="preserve">) Through the creation of a strong PLN, teachers are afforded opportunities for sustained professional development. That is, their professional learning is not completed in a “one-and-done” session (</w:t>
      </w:r>
      <w:r w:rsidDel="00000000" w:rsidR="00000000" w:rsidRPr="00000000">
        <w:rPr>
          <w:rFonts w:ascii="Times New Roman" w:cs="Times New Roman" w:eastAsia="Times New Roman" w:hAnsi="Times New Roman"/>
          <w:sz w:val="24"/>
          <w:szCs w:val="24"/>
          <w:rtl w:val="0"/>
        </w:rPr>
        <w:t xml:space="preserve">Alberth et al, 2018, p. 297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1">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of practice and research questions provided a strong framework for the creation of my design. The final product of my design is a micro-credential awarding online course created to support teachers using Instagram effectively and judiciously. The goal of the design was to create a learning resource for teachers to explore essential themes and think about ideas about how to be a more effective user of Instagram. The course was created on Particpate.com, which functions as a space where communities of practice can gather and collaborate about ideas (</w:t>
      </w:r>
      <w:r w:rsidDel="00000000" w:rsidR="00000000" w:rsidRPr="00000000">
        <w:rPr>
          <w:rFonts w:ascii="Times New Roman" w:cs="Times New Roman" w:eastAsia="Times New Roman" w:hAnsi="Times New Roman"/>
          <w:sz w:val="24"/>
          <w:szCs w:val="24"/>
          <w:rtl w:val="0"/>
        </w:rPr>
        <w:t xml:space="preserve">Participate, 2021</w:t>
      </w:r>
      <w:r w:rsidDel="00000000" w:rsidR="00000000" w:rsidRPr="00000000">
        <w:rPr>
          <w:rFonts w:ascii="Times New Roman" w:cs="Times New Roman" w:eastAsia="Times New Roman" w:hAnsi="Times New Roman"/>
          <w:sz w:val="24"/>
          <w:szCs w:val="24"/>
          <w:rtl w:val="0"/>
        </w:rPr>
        <w:t xml:space="preserve">). Rooted in the work of Lave and Wenger (</w:t>
      </w:r>
      <w:r w:rsidDel="00000000" w:rsidR="00000000" w:rsidRPr="00000000">
        <w:rPr>
          <w:rFonts w:ascii="Times New Roman" w:cs="Times New Roman" w:eastAsia="Times New Roman" w:hAnsi="Times New Roman"/>
          <w:sz w:val="24"/>
          <w:szCs w:val="24"/>
          <w:rtl w:val="0"/>
        </w:rPr>
        <w:t xml:space="preserve">1991</w:t>
      </w:r>
      <w:r w:rsidDel="00000000" w:rsidR="00000000" w:rsidRPr="00000000">
        <w:rPr>
          <w:rFonts w:ascii="Times New Roman" w:cs="Times New Roman" w:eastAsia="Times New Roman" w:hAnsi="Times New Roman"/>
          <w:sz w:val="24"/>
          <w:szCs w:val="24"/>
          <w:rtl w:val="0"/>
        </w:rPr>
        <w:t xml:space="preserve">), the website aims to create and foster great, flexible, and collaborative communities of practice supported by facilitators, peer mentors, and community members. Within the communities, newcomers and oldtimers share ideas, resources, and connect around common values and interests (</w:t>
      </w:r>
      <w:r w:rsidDel="00000000" w:rsidR="00000000" w:rsidRPr="00000000">
        <w:rPr>
          <w:rFonts w:ascii="Times New Roman" w:cs="Times New Roman" w:eastAsia="Times New Roman" w:hAnsi="Times New Roman"/>
          <w:sz w:val="24"/>
          <w:szCs w:val="24"/>
          <w:rtl w:val="0"/>
        </w:rPr>
        <w:t xml:space="preserve">Participate, 2021</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2">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creation and development of my design, I kept my work rooted in positioning theory (Langenhove &amp; Harré, 1994) and socio-material theory (</w:t>
      </w:r>
      <w:r w:rsidDel="00000000" w:rsidR="00000000" w:rsidRPr="00000000">
        <w:rPr>
          <w:rFonts w:ascii="Times New Roman" w:cs="Times New Roman" w:eastAsia="Times New Roman" w:hAnsi="Times New Roman"/>
          <w:sz w:val="24"/>
          <w:szCs w:val="24"/>
          <w:highlight w:val="white"/>
          <w:rtl w:val="0"/>
        </w:rPr>
        <w:t xml:space="preserve">Orlikowski, 2007, p. 1438; Burnett &amp; Merchant, 2019, p. 266</w:t>
      </w:r>
      <w:r w:rsidDel="00000000" w:rsidR="00000000" w:rsidRPr="00000000">
        <w:rPr>
          <w:rFonts w:ascii="Times New Roman" w:cs="Times New Roman" w:eastAsia="Times New Roman" w:hAnsi="Times New Roman"/>
          <w:sz w:val="24"/>
          <w:szCs w:val="24"/>
          <w:rtl w:val="0"/>
        </w:rPr>
        <w:t xml:space="preserve">). Positioning theory explores the relationships between individuals occupying various roles or particular positions in an interaction (</w:t>
      </w:r>
      <w:r w:rsidDel="00000000" w:rsidR="00000000" w:rsidRPr="00000000">
        <w:rPr>
          <w:rFonts w:ascii="Times New Roman" w:cs="Times New Roman" w:eastAsia="Times New Roman" w:hAnsi="Times New Roman"/>
          <w:sz w:val="24"/>
          <w:szCs w:val="24"/>
          <w:rtl w:val="0"/>
        </w:rPr>
        <w:t xml:space="preserve">Langenhove &amp; Harré, 1994</w:t>
      </w:r>
      <w:r w:rsidDel="00000000" w:rsidR="00000000" w:rsidRPr="00000000">
        <w:rPr>
          <w:rFonts w:ascii="Times New Roman" w:cs="Times New Roman" w:eastAsia="Times New Roman" w:hAnsi="Times New Roman"/>
          <w:sz w:val="24"/>
          <w:szCs w:val="24"/>
          <w:rtl w:val="0"/>
        </w:rPr>
        <w:t xml:space="preserve">). Through the use of positioning theory, I designed the course to be completed by an individual positioned as a learner. Therefore, I took the position of instructor throughout the design process. Moreover, socio-material theory provided an important framework for my design process. Socio-material theory helped me to consider the ways the social, the material, and the virtual worlds overlap to create meaning in digital space (</w:t>
      </w:r>
      <w:r w:rsidDel="00000000" w:rsidR="00000000" w:rsidRPr="00000000">
        <w:rPr>
          <w:rFonts w:ascii="Times New Roman" w:cs="Times New Roman" w:eastAsia="Times New Roman" w:hAnsi="Times New Roman"/>
          <w:sz w:val="24"/>
          <w:szCs w:val="24"/>
          <w:highlight w:val="white"/>
          <w:rtl w:val="0"/>
        </w:rPr>
        <w:t xml:space="preserve">Orlikowski, 2007, p. 1438</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step in my design process was to determine the core competencies and create an outline of what would be included in the chapters relating to each competencies. In order to ensure information was presented in a logical way that was beneficial to the learner, I created an outline </w:t>
      </w:r>
      <w:r w:rsidDel="00000000" w:rsidR="00000000" w:rsidRPr="00000000">
        <w:rPr>
          <w:rFonts w:ascii="Times New Roman" w:cs="Times New Roman" w:eastAsia="Times New Roman" w:hAnsi="Times New Roman"/>
          <w:sz w:val="24"/>
          <w:szCs w:val="24"/>
          <w:rtl w:val="0"/>
        </w:rPr>
        <w:t xml:space="preserve">that reflected what the learner’s experience with the course would be like.</w:t>
      </w:r>
      <w:r w:rsidDel="00000000" w:rsidR="00000000" w:rsidRPr="00000000">
        <w:rPr>
          <w:rFonts w:ascii="Times New Roman" w:cs="Times New Roman" w:eastAsia="Times New Roman" w:hAnsi="Times New Roman"/>
          <w:sz w:val="24"/>
          <w:szCs w:val="24"/>
          <w:rtl w:val="0"/>
        </w:rPr>
        <w:t xml:space="preserve"> Within this outline, I cited much of the research and literature I had read about Instagram, PLNs, and professional development up to that point. Through working and re-working the outline, I determined a course sequence that I believe presented information in a way that was beneficial to the learner and built upon the prior chapter in a logical manner. Then, I met with Mark Otter, CEO of Participate, and Julie Keane, Chief Learning Officer of Participate, to discuss my proposed design. Mark and Julie gave me great feedback and ideas about how to make the course more engaging for users, including using infographics, creating opportunities for participants to connect with one another via discussion posts, and avoiding long form text in chapters. Equipped with Mark and Julie’s suggestions, I began to create the web interface for the course. </w:t>
      </w:r>
    </w:p>
    <w:p w:rsidR="00000000" w:rsidDel="00000000" w:rsidP="00000000" w:rsidRDefault="00000000" w:rsidRPr="00000000" w14:paraId="00000014">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beginning of the course, participants are introduced to the 5 core competencies of the course. These core competencies were developed with the use of Bloom’s Taxonomy (</w:t>
      </w:r>
      <w:r w:rsidDel="00000000" w:rsidR="00000000" w:rsidRPr="00000000">
        <w:rPr>
          <w:rFonts w:ascii="Times New Roman" w:cs="Times New Roman" w:eastAsia="Times New Roman" w:hAnsi="Times New Roman"/>
          <w:sz w:val="24"/>
          <w:szCs w:val="24"/>
          <w:rtl w:val="0"/>
        </w:rPr>
        <w:t xml:space="preserve">Armstrong, 2019</w:t>
      </w:r>
      <w:r w:rsidDel="00000000" w:rsidR="00000000" w:rsidRPr="00000000">
        <w:rPr>
          <w:rFonts w:ascii="Times New Roman" w:cs="Times New Roman" w:eastAsia="Times New Roman" w:hAnsi="Times New Roman"/>
          <w:sz w:val="24"/>
          <w:szCs w:val="24"/>
          <w:rtl w:val="0"/>
        </w:rPr>
        <w:t xml:space="preserve">) They include: identifying the ways in which Instagram can be a rich professional development tool,  establish a clear definition of a professional learning network and outline its benefit for educators, examine the way the Instagram algorithm works and how it moderates the content on one’s feed, analyze how critical literacy can assist users in being responsible consumers of Instagram content, and apply skills developed on this course to your own Instagram account (</w:t>
      </w:r>
      <w:r w:rsidDel="00000000" w:rsidR="00000000" w:rsidRPr="00000000">
        <w:rPr>
          <w:rFonts w:ascii="Times New Roman" w:cs="Times New Roman" w:eastAsia="Times New Roman" w:hAnsi="Times New Roman"/>
          <w:sz w:val="24"/>
          <w:szCs w:val="24"/>
          <w:rtl w:val="0"/>
        </w:rPr>
        <w:t xml:space="preserve">Field, 2021</w:t>
      </w:r>
      <w:r w:rsidDel="00000000" w:rsidR="00000000" w:rsidRPr="00000000">
        <w:rPr>
          <w:rFonts w:ascii="Times New Roman" w:cs="Times New Roman" w:eastAsia="Times New Roman" w:hAnsi="Times New Roman"/>
          <w:sz w:val="24"/>
          <w:szCs w:val="24"/>
          <w:rtl w:val="0"/>
        </w:rPr>
        <w:t xml:space="preserve">). The core competencies create a framework of main ideas which encapsulate the learning experience of the course.</w:t>
      </w:r>
      <w:r w:rsidDel="00000000" w:rsidR="00000000" w:rsidRPr="00000000">
        <w:rPr>
          <w:rFonts w:ascii="Times New Roman" w:cs="Times New Roman" w:eastAsia="Times New Roman" w:hAnsi="Times New Roman"/>
          <w:sz w:val="24"/>
          <w:szCs w:val="24"/>
          <w:rtl w:val="0"/>
        </w:rPr>
        <w:t xml:space="preserve"> These core competencies anchored the backward design process that helped me to create each chapter</w:t>
      </w:r>
      <w:r w:rsidDel="00000000" w:rsidR="00000000" w:rsidRPr="00000000">
        <w:rPr>
          <w:rFonts w:ascii="Times New Roman" w:cs="Times New Roman" w:eastAsia="Times New Roman" w:hAnsi="Times New Roman"/>
          <w:sz w:val="24"/>
          <w:szCs w:val="24"/>
          <w:rtl w:val="0"/>
        </w:rPr>
        <w:t xml:space="preserve">. Chapters in the course cover the ideas of how teachers are already using Instagram, professional learning networks, the Instagram algorithm and critical literacy (Field, 2021). Through the use of backwards design (Wiggins &amp; McTigher, 1998), I populated the chapters with research-backed content that related to the particular core competencies. The content of each chapter encourages educators to think about how themes and ideas of the course are applicable to their personal digital spaces and practices.</w:t>
      </w:r>
    </w:p>
    <w:p w:rsidR="00000000" w:rsidDel="00000000" w:rsidP="00000000" w:rsidRDefault="00000000" w:rsidRPr="00000000" w14:paraId="00000015">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course, there are visual elements such as photos and infographics, as well as multimedia elements such as videos.  Moreover, there is a strong emphasis on collaboration within the course, and there are 6 opportunities for participants to engage with one another on a discussion thread.  The goal of the discussion is to continue to emphasize the importance of collaboration within communities of practice. These discussion threads will also function as a learning artifact that the United We Teach Community, a Participate community of international educators that has agreed to host my design, can utilize in whatever way they deem fit for their community.</w:t>
      </w:r>
    </w:p>
    <w:p w:rsidR="00000000" w:rsidDel="00000000" w:rsidP="00000000" w:rsidRDefault="00000000" w:rsidRPr="00000000" w14:paraId="00000016">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course, learners submit a final learning submission to encapsulate the totality of their learning experience throughout the course. The final learning submission includes describing an area of expertise or skill learned during the course, uploading a form of documentation of learning like a screen shot, and reflecting on the impact of the course on daily practice (Field, 2021). Following the final learning submission, participants earn a micro-credential called “Instagram Ignitor”, which shows their successful completion of the course. According to credreg.net, a microcredential is defined as, “Credential that addresses a subset of field-specific knowledge, skills, or competencies; often developmental with relationships to other micro-credentials and field credentials'' (Credential transparency, 2021).  Microcredentials afford learners the opportunity of  personalization and flexibility in professional learning.  Moreover, they allow</w:t>
      </w:r>
      <w:r w:rsidDel="00000000" w:rsidR="00000000" w:rsidRPr="00000000">
        <w:rPr>
          <w:rFonts w:ascii="Times New Roman" w:cs="Times New Roman" w:eastAsia="Times New Roman" w:hAnsi="Times New Roman"/>
          <w:sz w:val="24"/>
          <w:szCs w:val="24"/>
          <w:rtl w:val="0"/>
        </w:rPr>
        <w:t xml:space="preserve"> learners to improve practice through competency-based and interest-driven exploration at the individual level. At this time, there is no uniform way in which states or districts honor microcredentials for professional learning / continuing education credits (Hunt et. al, 2019). </w:t>
      </w:r>
    </w:p>
    <w:p w:rsidR="00000000" w:rsidDel="00000000" w:rsidP="00000000" w:rsidRDefault="00000000" w:rsidRPr="00000000" w14:paraId="00000017">
      <w:pPr>
        <w:shd w:fill="ffffff" w:val="clear"/>
        <w:spacing w:line="480" w:lineRule="auto"/>
        <w:ind w:left="0" w:firstLine="720"/>
        <w:rPr>
          <w:sz w:val="23"/>
          <w:szCs w:val="23"/>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n conclusion, I believe that my design provides teachers with concepts and tools they can utilize to become more judicious and effective users of Instagram. Throughout the course, learners have the opportunity to think with other participants regarding important themes surrounding PLNs, Instagram, and professional development in social media spaces.  Through the completion of the course, educators will learn to truly ignite their professional Instagram use in order to find examples of well thought out and diverse classroom practices</w:t>
      </w:r>
      <w:r w:rsidDel="00000000" w:rsidR="00000000" w:rsidRPr="00000000">
        <w:rPr>
          <w:sz w:val="23"/>
          <w:szCs w:val="23"/>
          <w:rtl w:val="0"/>
        </w:rPr>
        <w:t xml:space="preserve">.</w:t>
      </w:r>
    </w:p>
    <w:p w:rsidR="00000000" w:rsidDel="00000000" w:rsidP="00000000" w:rsidRDefault="00000000" w:rsidRPr="00000000" w14:paraId="00000018">
      <w:pPr>
        <w:shd w:fill="ffffff" w:val="clear"/>
        <w:spacing w:line="480" w:lineRule="auto"/>
        <w:ind w:left="0" w:firstLine="0"/>
        <w:rPr>
          <w:sz w:val="23"/>
          <w:szCs w:val="23"/>
        </w:rPr>
      </w:pPr>
      <w:r w:rsidDel="00000000" w:rsidR="00000000" w:rsidRPr="00000000">
        <w:rPr>
          <w:sz w:val="23"/>
          <w:szCs w:val="23"/>
          <w:rtl w:val="0"/>
        </w:rPr>
        <w:t xml:space="preserve"> </w:t>
      </w:r>
    </w:p>
    <w:p w:rsidR="00000000" w:rsidDel="00000000" w:rsidP="00000000" w:rsidRDefault="00000000" w:rsidRPr="00000000" w14:paraId="00000019">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hd w:fill="ffffff" w:val="clea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1B">
      <w:pPr>
        <w:shd w:fill="ffffff" w:val="clea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Alberth, A., Mursalim, M., Siam, S., Suardika, I. K., &amp; Ino, L. (2018). Social media as a conduit</w:t>
      </w:r>
    </w:p>
    <w:p w:rsidR="00000000" w:rsidDel="00000000" w:rsidP="00000000" w:rsidRDefault="00000000" w:rsidRPr="00000000" w14:paraId="0000001C">
      <w:pPr>
        <w:shd w:fill="ffffff" w:val="clea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teacher professional development in the digital era: Myths, promises or realities?.</w:t>
      </w:r>
    </w:p>
    <w:p w:rsidR="00000000" w:rsidDel="00000000" w:rsidP="00000000" w:rsidRDefault="00000000" w:rsidRPr="00000000" w14:paraId="0000001D">
      <w:pPr>
        <w:shd w:fill="ffffff" w:val="clea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Teflin Journal, 29(2), 293-306.</w:t>
      </w:r>
    </w:p>
    <w:p w:rsidR="00000000" w:rsidDel="00000000" w:rsidP="00000000" w:rsidRDefault="00000000" w:rsidRPr="00000000" w14:paraId="0000001E">
      <w:pPr>
        <w:shd w:fill="ffffff" w:val="clea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P. (2016). Bloom’s taxonomy. Vanderbilt University Center for Teaching.</w:t>
      </w:r>
    </w:p>
    <w:p w:rsidR="00000000" w:rsidDel="00000000" w:rsidP="00000000" w:rsidRDefault="00000000" w:rsidRPr="00000000" w14:paraId="0000001F">
      <w:pPr>
        <w:shd w:fill="ffffff" w:val="clea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Burnett, C., &amp; Merchant, G. (2019). Revisiting critical literacy in the digital age. The Reading</w:t>
      </w:r>
    </w:p>
    <w:p w:rsidR="00000000" w:rsidDel="00000000" w:rsidP="00000000" w:rsidRDefault="00000000" w:rsidRPr="00000000" w14:paraId="00000020">
      <w:pPr>
        <w:shd w:fill="ffffff" w:val="clea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 73(3), 263-266.</w:t>
      </w:r>
    </w:p>
    <w:p w:rsidR="00000000" w:rsidDel="00000000" w:rsidP="00000000" w:rsidRDefault="00000000" w:rsidRPr="00000000" w14:paraId="00000021">
      <w:pPr>
        <w:shd w:fill="ffffff" w:val="clea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Carpenter, J. P., Morrison, S. A., Craft, M., &amp; Lee, M. (2020). How and why are educators using</w:t>
      </w:r>
    </w:p>
    <w:p w:rsidR="00000000" w:rsidDel="00000000" w:rsidP="00000000" w:rsidRDefault="00000000" w:rsidRPr="00000000" w14:paraId="00000022">
      <w:pPr>
        <w:shd w:fill="ffffff" w:val="clea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Instagram?. Teaching and Teacher Education, 96, 103149.</w:t>
      </w:r>
    </w:p>
    <w:p w:rsidR="00000000" w:rsidDel="00000000" w:rsidP="00000000" w:rsidRDefault="00000000" w:rsidRPr="00000000" w14:paraId="00000023">
      <w:pPr>
        <w:shd w:fill="ffffff"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Credential transparency description language. (2021, March 26). Retrieved March 28, 2021,</w:t>
      </w:r>
    </w:p>
    <w:p w:rsidR="00000000" w:rsidDel="00000000" w:rsidP="00000000" w:rsidRDefault="00000000" w:rsidRPr="00000000" w14:paraId="00000024">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https://credreg.net/ctdl/terms#MicroCredential</w:t>
      </w:r>
    </w:p>
    <w:p w:rsidR="00000000" w:rsidDel="00000000" w:rsidP="00000000" w:rsidRDefault="00000000" w:rsidRPr="00000000" w14:paraId="00000025">
      <w:pPr>
        <w:shd w:fill="ffffff"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Field, J. (2021). Participate. Retrieved March 28, 2021, from</w:t>
      </w:r>
    </w:p>
    <w:p w:rsidR="00000000" w:rsidDel="00000000" w:rsidP="00000000" w:rsidRDefault="00000000" w:rsidRPr="00000000" w14:paraId="00000026">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https://app.participate.com/communities/mark-s-test-community/d89bbecc-96c7-40b6-b</w:t>
      </w:r>
      <w:r w:rsidDel="00000000" w:rsidR="00000000" w:rsidRPr="00000000">
        <w:rPr>
          <w:rtl w:val="0"/>
        </w:rPr>
      </w:r>
    </w:p>
    <w:p w:rsidR="00000000" w:rsidDel="00000000" w:rsidP="00000000" w:rsidRDefault="00000000" w:rsidRPr="00000000" w14:paraId="00000027">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2d-afca5a4135e5/products/instagram-ignitors-leveraging-instagram-for-effective-teacher</w:t>
      </w:r>
    </w:p>
    <w:p w:rsidR="00000000" w:rsidDel="00000000" w:rsidP="00000000" w:rsidRDefault="00000000" w:rsidRPr="00000000" w14:paraId="00000028">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professional-development/66c7f72b-659b-46b4-9173-32100c37da4d</w:t>
      </w:r>
    </w:p>
    <w:p w:rsidR="00000000" w:rsidDel="00000000" w:rsidP="00000000" w:rsidRDefault="00000000" w:rsidRPr="00000000" w14:paraId="00000029">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Galligan, C., Linford, S., Murphy, J. (2019, April 16). Are teachers in love with INSTA? Here's</w:t>
      </w:r>
    </w:p>
    <w:p w:rsidR="00000000" w:rsidDel="00000000" w:rsidP="00000000" w:rsidRDefault="00000000" w:rsidRPr="00000000" w14:paraId="0000002A">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 learned from our survey. Retrieved February 26, 2021, from</w:t>
      </w:r>
    </w:p>
    <w:p w:rsidR="00000000" w:rsidDel="00000000" w:rsidP="00000000" w:rsidRDefault="00000000" w:rsidRPr="00000000" w14:paraId="0000002B">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https://mdreducation.com/2019/04/16/teachers-love-instagram-survey/</w:t>
      </w:r>
    </w:p>
    <w:p w:rsidR="00000000" w:rsidDel="00000000" w:rsidP="00000000" w:rsidRDefault="00000000" w:rsidRPr="00000000" w14:paraId="0000002C">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 T., Carter, R., Zhang, L., &amp; Yang, S. (2019). Micro-credentials: The potential of</w:t>
      </w:r>
    </w:p>
    <w:p w:rsidR="00000000" w:rsidDel="00000000" w:rsidP="00000000" w:rsidRDefault="00000000" w:rsidRPr="00000000" w14:paraId="0000002D">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personalized professional development. Development and Learning in Organizations: An</w:t>
      </w:r>
    </w:p>
    <w:p w:rsidR="00000000" w:rsidDel="00000000" w:rsidP="00000000" w:rsidRDefault="00000000" w:rsidRPr="00000000" w14:paraId="0000002E">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Journal.</w:t>
      </w:r>
    </w:p>
    <w:p w:rsidR="00000000" w:rsidDel="00000000" w:rsidP="00000000" w:rsidRDefault="00000000" w:rsidRPr="00000000" w14:paraId="0000002F">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Iqbal, M. (2021, January 28). Instagram revenue and usage Statistics (2021). Retrieved February</w:t>
      </w:r>
    </w:p>
    <w:p w:rsidR="00000000" w:rsidDel="00000000" w:rsidP="00000000" w:rsidRDefault="00000000" w:rsidRPr="00000000" w14:paraId="00000030">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2021, from https://www.businessofapps.com/data/instagram-statistics/#1</w:t>
      </w:r>
    </w:p>
    <w:p w:rsidR="00000000" w:rsidDel="00000000" w:rsidP="00000000" w:rsidRDefault="00000000" w:rsidRPr="00000000" w14:paraId="00000031">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Langenhove, L. V., &amp; Harré, R. (1994). Cultural stereotypes and positioning theory. Journal for</w:t>
      </w:r>
    </w:p>
    <w:p w:rsidR="00000000" w:rsidDel="00000000" w:rsidP="00000000" w:rsidRDefault="00000000" w:rsidRPr="00000000" w14:paraId="00000032">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Theory of Social Behaviour, 24(4), 359-372.</w:t>
      </w:r>
    </w:p>
    <w:p w:rsidR="00000000" w:rsidDel="00000000" w:rsidP="00000000" w:rsidRDefault="00000000" w:rsidRPr="00000000" w14:paraId="00000033">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Lave, J., &amp; Wenger, E. (1991). Situated learning: Legitimate peripheral participation. Cambridge university press.</w:t>
      </w:r>
    </w:p>
    <w:p w:rsidR="00000000" w:rsidDel="00000000" w:rsidP="00000000" w:rsidRDefault="00000000" w:rsidRPr="00000000" w14:paraId="00000034">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Orlikowski, W. J. (2007). Sociomaterial practices: Exploring technology at work. Organization</w:t>
      </w:r>
    </w:p>
    <w:p w:rsidR="00000000" w:rsidDel="00000000" w:rsidP="00000000" w:rsidRDefault="00000000" w:rsidRPr="00000000" w14:paraId="00000035">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28(9), 1435-1448.</w:t>
      </w:r>
    </w:p>
    <w:p w:rsidR="00000000" w:rsidDel="00000000" w:rsidP="00000000" w:rsidRDefault="00000000" w:rsidRPr="00000000" w14:paraId="00000036">
      <w:pPr>
        <w:shd w:fill="ffffff"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Participate, I. (2021). Participate.com. Retrieved March 1, 2021, from</w:t>
      </w:r>
    </w:p>
    <w:p w:rsidR="00000000" w:rsidDel="00000000" w:rsidP="00000000" w:rsidRDefault="00000000" w:rsidRPr="00000000" w14:paraId="00000037">
      <w:pPr>
        <w:shd w:fill="ffffff" w:val="clea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https://www.participate.com/</w:t>
      </w:r>
    </w:p>
    <w:p w:rsidR="00000000" w:rsidDel="00000000" w:rsidP="00000000" w:rsidRDefault="00000000" w:rsidRPr="00000000" w14:paraId="00000038">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Shelton, C., Curcio, R. &amp; Schroeder, S. (2020). Instagramming their Hearts Out: Teacher</w:t>
      </w:r>
    </w:p>
    <w:p w:rsidR="00000000" w:rsidDel="00000000" w:rsidP="00000000" w:rsidRDefault="00000000" w:rsidRPr="00000000" w14:paraId="00000039">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Influencers on Instagram. In D. Schmidt-Crawford (Ed.), Proceedings of Society for</w:t>
      </w:r>
    </w:p>
    <w:p w:rsidR="00000000" w:rsidDel="00000000" w:rsidP="00000000" w:rsidRDefault="00000000" w:rsidRPr="00000000" w14:paraId="0000003A">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Technology &amp; Teacher Education International Conference (pp. 1470-1476).</w:t>
      </w:r>
    </w:p>
    <w:p w:rsidR="00000000" w:rsidDel="00000000" w:rsidP="00000000" w:rsidRDefault="00000000" w:rsidRPr="00000000" w14:paraId="0000003B">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Association for the Advancement of Computing in Education (AACE). Retrieved</w:t>
      </w:r>
    </w:p>
    <w:p w:rsidR="00000000" w:rsidDel="00000000" w:rsidP="00000000" w:rsidRDefault="00000000" w:rsidRPr="00000000" w14:paraId="0000003C">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21, 2020 from https://www.learntechlib.org/primary/p/215915/.</w:t>
      </w:r>
    </w:p>
    <w:p w:rsidR="00000000" w:rsidDel="00000000" w:rsidP="00000000" w:rsidRDefault="00000000" w:rsidRPr="00000000" w14:paraId="0000003D">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T. (2012). Professional learning networks designed for teacher learning. Journal of Digital</w:t>
      </w:r>
    </w:p>
    <w:p w:rsidR="00000000" w:rsidDel="00000000" w:rsidP="00000000" w:rsidRDefault="00000000" w:rsidRPr="00000000" w14:paraId="0000003E">
      <w:pPr>
        <w:shd w:fill="ffffff" w:val="clea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in Teacher Education, 28(4), 133-138.</w:t>
      </w:r>
    </w:p>
    <w:p w:rsidR="00000000" w:rsidDel="00000000" w:rsidP="00000000" w:rsidRDefault="00000000" w:rsidRPr="00000000" w14:paraId="0000003F">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Wiggins, G., &amp; McTighe, J. (1998). What is backward design. Understanding by design, 1, 7-19.</w:t>
      </w:r>
    </w:p>
    <w:p w:rsidR="00000000" w:rsidDel="00000000" w:rsidP="00000000" w:rsidRDefault="00000000" w:rsidRPr="00000000" w14:paraId="00000040">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hd w:fill="ffffff" w:val="clea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sectPr>
      <w:headerReference r:id="rId6" w:type="default"/>
      <w:headerReference r:id="rId7"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INSTAGRAM                   </w:t>
      <w:tab/>
      <w:tab/>
      <w:tab/>
      <w:tab/>
      <w:tab/>
      <w:tab/>
      <w:tab/>
      <w:tab/>
      <w:t xml:space="preserve">                      </w:t>
    </w: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Running Head: INSTAGRAM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